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E5" w:rsidRDefault="007660E5" w:rsidP="00C2105A">
      <w:pPr>
        <w:jc w:val="center"/>
        <w:rPr>
          <w:b/>
          <w:sz w:val="24"/>
          <w:szCs w:val="24"/>
        </w:rPr>
      </w:pPr>
      <w:r w:rsidRPr="00C2105A">
        <w:rPr>
          <w:rStyle w:val="markedcontent"/>
          <w:rFonts w:ascii="Arial" w:hAnsi="Arial" w:cs="Arial"/>
          <w:sz w:val="32"/>
          <w:szCs w:val="35"/>
        </w:rPr>
        <w:t>Анализ</w:t>
      </w:r>
      <w:r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обеспечения объективности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результатов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Всероссийских проверочных работ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в общеобразовательных организациях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Усольского района </w:t>
      </w:r>
      <w:r w:rsidR="00EF0C10">
        <w:rPr>
          <w:rStyle w:val="markedcontent"/>
          <w:rFonts w:ascii="Arial" w:hAnsi="Arial" w:cs="Arial"/>
          <w:sz w:val="32"/>
          <w:szCs w:val="35"/>
        </w:rPr>
        <w:t xml:space="preserve">в </w:t>
      </w:r>
      <w:r w:rsidRPr="00C2105A">
        <w:rPr>
          <w:rStyle w:val="markedcontent"/>
          <w:rFonts w:ascii="Arial" w:hAnsi="Arial" w:cs="Arial"/>
          <w:sz w:val="32"/>
          <w:szCs w:val="35"/>
        </w:rPr>
        <w:t>202</w:t>
      </w:r>
      <w:r w:rsidR="0048620E">
        <w:rPr>
          <w:rStyle w:val="markedcontent"/>
          <w:rFonts w:ascii="Arial" w:hAnsi="Arial" w:cs="Arial"/>
          <w:sz w:val="32"/>
          <w:szCs w:val="35"/>
        </w:rPr>
        <w:t>0</w:t>
      </w:r>
      <w:r w:rsidRPr="00C2105A">
        <w:rPr>
          <w:rStyle w:val="markedcontent"/>
          <w:rFonts w:ascii="Arial" w:hAnsi="Arial" w:cs="Arial"/>
          <w:sz w:val="32"/>
          <w:szCs w:val="35"/>
        </w:rPr>
        <w:t xml:space="preserve"> год</w:t>
      </w:r>
      <w:r w:rsidR="00EF0C10">
        <w:rPr>
          <w:rStyle w:val="markedcontent"/>
          <w:rFonts w:ascii="Arial" w:hAnsi="Arial" w:cs="Arial"/>
          <w:sz w:val="32"/>
          <w:szCs w:val="35"/>
        </w:rPr>
        <w:t>у</w:t>
      </w:r>
      <w:r w:rsidR="0048620E">
        <w:rPr>
          <w:rStyle w:val="markedcontent"/>
          <w:rFonts w:ascii="Arial" w:hAnsi="Arial" w:cs="Arial"/>
          <w:sz w:val="32"/>
          <w:szCs w:val="35"/>
        </w:rPr>
        <w:t xml:space="preserve"> (осень)</w:t>
      </w:r>
    </w:p>
    <w:p w:rsidR="00EF0C10" w:rsidRPr="00406717" w:rsidRDefault="00EF0C10" w:rsidP="00324A02">
      <w:pPr>
        <w:ind w:firstLine="708"/>
        <w:jc w:val="both"/>
        <w:rPr>
          <w:sz w:val="24"/>
          <w:szCs w:val="24"/>
          <w:lang w:val="en-US"/>
        </w:rPr>
      </w:pPr>
      <w:r w:rsidRPr="00EF0C10">
        <w:rPr>
          <w:sz w:val="24"/>
          <w:szCs w:val="24"/>
        </w:rPr>
        <w:t>В соответствии с Регламентом проведения ВПР в Иркутской области осенью 2020 г.</w:t>
      </w:r>
      <w:r w:rsidR="00324A02">
        <w:rPr>
          <w:sz w:val="24"/>
          <w:szCs w:val="24"/>
        </w:rPr>
        <w:t xml:space="preserve"> </w:t>
      </w:r>
      <w:r w:rsidRPr="00EF0C10">
        <w:rPr>
          <w:sz w:val="24"/>
          <w:szCs w:val="24"/>
        </w:rPr>
        <w:t>(распоряжение   министерства</w:t>
      </w:r>
      <w:r w:rsidR="00324A02">
        <w:rPr>
          <w:sz w:val="24"/>
          <w:szCs w:val="24"/>
        </w:rPr>
        <w:t xml:space="preserve"> </w:t>
      </w:r>
      <w:r w:rsidRPr="00EF0C10">
        <w:rPr>
          <w:sz w:val="24"/>
          <w:szCs w:val="24"/>
        </w:rPr>
        <w:t>образования   Иркутской   области   от   04   сентября   2020 года N 667-мр «О проведении всероссийских проверочных работ в Иркутской области в 5-9 классах в 2020 году»), с</w:t>
      </w:r>
      <w:r w:rsidR="00324A02">
        <w:rPr>
          <w:sz w:val="24"/>
          <w:szCs w:val="24"/>
        </w:rPr>
        <w:t xml:space="preserve"> </w:t>
      </w:r>
      <w:r w:rsidRPr="00EF0C10">
        <w:rPr>
          <w:sz w:val="24"/>
          <w:szCs w:val="24"/>
        </w:rPr>
        <w:t>целью обеспечения объективности результатов ВПР</w:t>
      </w:r>
      <w:r w:rsidR="00324A02">
        <w:rPr>
          <w:sz w:val="24"/>
          <w:szCs w:val="24"/>
        </w:rPr>
        <w:t xml:space="preserve"> </w:t>
      </w:r>
      <w:r w:rsidRPr="00EF0C10">
        <w:rPr>
          <w:sz w:val="24"/>
          <w:szCs w:val="24"/>
        </w:rPr>
        <w:t>были организованы</w:t>
      </w:r>
      <w:r w:rsidR="00324A02">
        <w:rPr>
          <w:sz w:val="24"/>
          <w:szCs w:val="24"/>
        </w:rPr>
        <w:t xml:space="preserve"> </w:t>
      </w:r>
      <w:r w:rsidRPr="00EF0C10">
        <w:rPr>
          <w:sz w:val="24"/>
          <w:szCs w:val="24"/>
        </w:rPr>
        <w:t>общественное наблюдение проведения процедуры ВПР и муниципальная перепроверка работ участников ВПР</w:t>
      </w:r>
      <w:r w:rsidR="00324A02">
        <w:rPr>
          <w:sz w:val="24"/>
          <w:szCs w:val="24"/>
        </w:rPr>
        <w:t>.</w:t>
      </w:r>
      <w:bookmarkStart w:id="0" w:name="_GoBack"/>
      <w:bookmarkEnd w:id="0"/>
    </w:p>
    <w:p w:rsidR="00DA5BDE" w:rsidRPr="00EF0C10" w:rsidRDefault="0048620E" w:rsidP="00324A02">
      <w:pPr>
        <w:ind w:firstLine="708"/>
        <w:jc w:val="both"/>
        <w:rPr>
          <w:sz w:val="24"/>
          <w:szCs w:val="24"/>
        </w:rPr>
      </w:pPr>
      <w:r w:rsidRPr="0048620E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48620E">
        <w:rPr>
          <w:sz w:val="24"/>
          <w:szCs w:val="24"/>
        </w:rPr>
        <w:t>учётом требований пункта</w:t>
      </w:r>
      <w:r w:rsidR="00DA5BDE">
        <w:rPr>
          <w:sz w:val="24"/>
          <w:szCs w:val="24"/>
        </w:rPr>
        <w:t xml:space="preserve"> </w:t>
      </w:r>
      <w:r w:rsidRPr="0048620E">
        <w:rPr>
          <w:sz w:val="24"/>
          <w:szCs w:val="24"/>
        </w:rPr>
        <w:t>2.1. Санитарно-эпидемиологических  правил СП 3.1/2.4.3598-20 «Санитарно-эпидемиологические требования</w:t>
      </w:r>
      <w:r>
        <w:rPr>
          <w:sz w:val="24"/>
          <w:szCs w:val="24"/>
        </w:rPr>
        <w:t xml:space="preserve"> </w:t>
      </w:r>
      <w:r w:rsidRPr="0048620E">
        <w:rPr>
          <w:sz w:val="24"/>
          <w:szCs w:val="24"/>
        </w:rPr>
        <w:t xml:space="preserve">к  устройству, содержанию  и  организации  работы  образовательных  организаций  и  других объектов социальной  инфраструктуры  для  детей  и молодежи  в условиях распространения  новой  </w:t>
      </w:r>
      <w:proofErr w:type="spellStart"/>
      <w:r w:rsidRPr="0048620E">
        <w:rPr>
          <w:sz w:val="24"/>
          <w:szCs w:val="24"/>
        </w:rPr>
        <w:t>коронавирусной</w:t>
      </w:r>
      <w:proofErr w:type="spellEnd"/>
      <w:r w:rsidRPr="0048620E">
        <w:rPr>
          <w:sz w:val="24"/>
          <w:szCs w:val="24"/>
        </w:rPr>
        <w:t xml:space="preserve">  инфекции  (СОVID-19)»(далее –</w:t>
      </w:r>
      <w:r w:rsidR="00DA5BDE">
        <w:rPr>
          <w:sz w:val="24"/>
          <w:szCs w:val="24"/>
        </w:rPr>
        <w:t xml:space="preserve"> </w:t>
      </w:r>
      <w:proofErr w:type="spellStart"/>
      <w:r w:rsidRPr="0048620E">
        <w:rPr>
          <w:sz w:val="24"/>
          <w:szCs w:val="24"/>
        </w:rPr>
        <w:t>СанПин</w:t>
      </w:r>
      <w:proofErr w:type="spellEnd"/>
      <w:r w:rsidRPr="0048620E">
        <w:rPr>
          <w:sz w:val="24"/>
          <w:szCs w:val="24"/>
        </w:rPr>
        <w:t xml:space="preserve"> 3.1/2.4.3598-20)о запрете мероприятий</w:t>
      </w:r>
      <w:r w:rsidR="00DA5BDE">
        <w:rPr>
          <w:sz w:val="24"/>
          <w:szCs w:val="24"/>
        </w:rPr>
        <w:t xml:space="preserve"> </w:t>
      </w:r>
      <w:r w:rsidRPr="0048620E">
        <w:rPr>
          <w:sz w:val="24"/>
          <w:szCs w:val="24"/>
        </w:rPr>
        <w:t>с  привлечением лиц из  иных  организаций, общественное наблюдение было осуществлено в ограниченном режиме</w:t>
      </w:r>
      <w:r w:rsidR="00DA5BDE">
        <w:rPr>
          <w:sz w:val="24"/>
          <w:szCs w:val="24"/>
        </w:rPr>
        <w:t xml:space="preserve">. </w:t>
      </w:r>
      <w:r w:rsidR="00DA5BDE" w:rsidRPr="00DA5BDE">
        <w:rPr>
          <w:sz w:val="24"/>
          <w:szCs w:val="24"/>
        </w:rPr>
        <w:t xml:space="preserve">Также, с учётом </w:t>
      </w:r>
      <w:proofErr w:type="spellStart"/>
      <w:r w:rsidR="00DA5BDE" w:rsidRPr="00DA5BDE">
        <w:rPr>
          <w:sz w:val="24"/>
          <w:szCs w:val="24"/>
        </w:rPr>
        <w:t>СанПин</w:t>
      </w:r>
      <w:proofErr w:type="spellEnd"/>
      <w:r w:rsidR="00DA5BDE" w:rsidRPr="00DA5BDE">
        <w:rPr>
          <w:sz w:val="24"/>
          <w:szCs w:val="24"/>
        </w:rPr>
        <w:t xml:space="preserve"> 3.1/2.4.3598-20 был изменён регламент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проведения муниципальной перепроверки работ участников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ВПР. Муниципальная перепроверка работ участников ВПР–2020 (далее –перепроверка)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осуществлялась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в дистанционном режиме экспертными группами на базе ОО.</w:t>
      </w:r>
      <w:r w:rsidR="00DA5BDE">
        <w:rPr>
          <w:sz w:val="24"/>
          <w:szCs w:val="24"/>
        </w:rPr>
        <w:t xml:space="preserve"> </w:t>
      </w:r>
    </w:p>
    <w:p w:rsidR="007660E5" w:rsidRDefault="00DA5BDE" w:rsidP="00324A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660E5" w:rsidRPr="00FA7293">
        <w:rPr>
          <w:sz w:val="24"/>
          <w:szCs w:val="24"/>
        </w:rPr>
        <w:t xml:space="preserve"> 9</w:t>
      </w:r>
      <w:r w:rsidR="007660E5">
        <w:rPr>
          <w:sz w:val="24"/>
          <w:szCs w:val="24"/>
        </w:rPr>
        <w:t xml:space="preserve"> по 11 ноября 2020 года проводилась</w:t>
      </w:r>
      <w:r w:rsidR="007660E5" w:rsidRPr="00FA7293">
        <w:rPr>
          <w:sz w:val="24"/>
          <w:szCs w:val="24"/>
        </w:rPr>
        <w:t xml:space="preserve"> муниципальная перепроверка работ участников ВПР.</w:t>
      </w:r>
      <w:r w:rsidR="007660E5" w:rsidRPr="00FA7293">
        <w:t xml:space="preserve"> </w:t>
      </w:r>
      <w:r w:rsidR="007660E5" w:rsidRPr="00FA7293">
        <w:rPr>
          <w:sz w:val="24"/>
          <w:szCs w:val="24"/>
        </w:rPr>
        <w:t>Доля ОО</w:t>
      </w:r>
      <w:r w:rsidR="007660E5">
        <w:rPr>
          <w:sz w:val="24"/>
          <w:szCs w:val="24"/>
        </w:rPr>
        <w:t>,</w:t>
      </w:r>
      <w:r w:rsidR="007660E5" w:rsidRPr="00FA7293">
        <w:rPr>
          <w:sz w:val="24"/>
          <w:szCs w:val="24"/>
        </w:rPr>
        <w:t xml:space="preserve"> в которых была организована перепроверка, </w:t>
      </w:r>
      <w:r w:rsidR="007660E5">
        <w:rPr>
          <w:sz w:val="24"/>
          <w:szCs w:val="24"/>
        </w:rPr>
        <w:t>составила 10,5% (</w:t>
      </w:r>
      <w:r w:rsidR="007660E5" w:rsidRPr="00FA7293">
        <w:rPr>
          <w:sz w:val="24"/>
          <w:szCs w:val="24"/>
        </w:rPr>
        <w:t>МБОУ «</w:t>
      </w:r>
      <w:proofErr w:type="spellStart"/>
      <w:r w:rsidR="007660E5" w:rsidRPr="00FA7293">
        <w:rPr>
          <w:sz w:val="24"/>
          <w:szCs w:val="24"/>
        </w:rPr>
        <w:t>Мальтинская</w:t>
      </w:r>
      <w:proofErr w:type="spellEnd"/>
      <w:r w:rsidR="007660E5" w:rsidRPr="00FA7293">
        <w:rPr>
          <w:sz w:val="24"/>
          <w:szCs w:val="24"/>
        </w:rPr>
        <w:t xml:space="preserve"> СОШ» </w:t>
      </w:r>
      <w:r w:rsidR="007660E5">
        <w:rPr>
          <w:sz w:val="24"/>
          <w:szCs w:val="24"/>
        </w:rPr>
        <w:t xml:space="preserve">- </w:t>
      </w:r>
      <w:r w:rsidR="007660E5" w:rsidRPr="00FA7293">
        <w:rPr>
          <w:sz w:val="24"/>
          <w:szCs w:val="24"/>
        </w:rPr>
        <w:t>математика 7 класс (по программе 6 класса), русский язык 7 класс (по программе 6 класса)</w:t>
      </w:r>
      <w:r w:rsidR="007660E5">
        <w:rPr>
          <w:sz w:val="24"/>
          <w:szCs w:val="24"/>
        </w:rPr>
        <w:t xml:space="preserve">; </w:t>
      </w:r>
      <w:r w:rsidR="007660E5" w:rsidRPr="00FA7293">
        <w:rPr>
          <w:sz w:val="24"/>
          <w:szCs w:val="24"/>
        </w:rPr>
        <w:t>МБОУ «СОШ №20» - математика 7 класс (по программе 6 класса).</w:t>
      </w:r>
      <w:r w:rsidR="007660E5">
        <w:rPr>
          <w:sz w:val="24"/>
          <w:szCs w:val="24"/>
        </w:rPr>
        <w:t xml:space="preserve"> МБОУ «</w:t>
      </w:r>
      <w:proofErr w:type="spellStart"/>
      <w:r w:rsidR="007660E5">
        <w:rPr>
          <w:sz w:val="24"/>
          <w:szCs w:val="24"/>
        </w:rPr>
        <w:t>Мальтинская</w:t>
      </w:r>
      <w:proofErr w:type="spellEnd"/>
      <w:r w:rsidR="007660E5">
        <w:rPr>
          <w:sz w:val="24"/>
          <w:szCs w:val="24"/>
        </w:rPr>
        <w:t xml:space="preserve"> СОШ» я</w:t>
      </w:r>
      <w:r w:rsidR="007660E5" w:rsidRPr="008D786E">
        <w:rPr>
          <w:sz w:val="24"/>
          <w:szCs w:val="24"/>
        </w:rPr>
        <w:t>вляется участником проекта "500+", по данным ГИА за последние 2 года результаты ниже среднего тестового балла по муниципалитету по математике и русскому языку</w:t>
      </w:r>
      <w:r w:rsidR="007660E5">
        <w:rPr>
          <w:sz w:val="24"/>
          <w:szCs w:val="24"/>
        </w:rPr>
        <w:t xml:space="preserve">. </w:t>
      </w:r>
      <w:r w:rsidR="007660E5" w:rsidRPr="008D786E">
        <w:rPr>
          <w:sz w:val="24"/>
          <w:szCs w:val="24"/>
        </w:rPr>
        <w:t>По данным ВПР за последние 2 года МБОУ «СОШ №20» демонстрирует низкие результаты по математике</w:t>
      </w:r>
      <w:r w:rsidR="007660E5">
        <w:rPr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2"/>
        <w:gridCol w:w="1696"/>
        <w:gridCol w:w="381"/>
        <w:gridCol w:w="381"/>
        <w:gridCol w:w="495"/>
        <w:gridCol w:w="353"/>
        <w:gridCol w:w="353"/>
        <w:gridCol w:w="353"/>
        <w:gridCol w:w="353"/>
        <w:gridCol w:w="353"/>
        <w:gridCol w:w="353"/>
        <w:gridCol w:w="361"/>
        <w:gridCol w:w="353"/>
        <w:gridCol w:w="353"/>
        <w:gridCol w:w="396"/>
        <w:gridCol w:w="353"/>
        <w:gridCol w:w="353"/>
        <w:gridCol w:w="353"/>
        <w:gridCol w:w="353"/>
        <w:gridCol w:w="353"/>
        <w:gridCol w:w="362"/>
        <w:gridCol w:w="347"/>
      </w:tblGrid>
      <w:tr w:rsidR="007660E5" w:rsidRPr="008D786E" w:rsidTr="00435FD0">
        <w:trPr>
          <w:trHeight w:val="52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Наименование ОО                          </w:t>
            </w:r>
          </w:p>
        </w:tc>
        <w:tc>
          <w:tcPr>
            <w:tcW w:w="1999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Русский язык</w:t>
            </w:r>
          </w:p>
        </w:tc>
        <w:tc>
          <w:tcPr>
            <w:tcW w:w="191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Математика</w:t>
            </w:r>
          </w:p>
        </w:tc>
      </w:tr>
      <w:tr w:rsidR="007660E5" w:rsidRPr="008D786E" w:rsidTr="00435FD0">
        <w:trPr>
          <w:trHeight w:val="28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10</w:t>
            </w:r>
          </w:p>
        </w:tc>
      </w:tr>
      <w:tr w:rsidR="007660E5" w:rsidRPr="008D786E" w:rsidTr="00435FD0">
        <w:trPr>
          <w:trHeight w:val="124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выполненных работ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Кол-во работ,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на перепроверку 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работ,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на перепроверку, %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Итоговый балл совпал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(кол-во работ)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работ, в которых итоговый балл совпал (%)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Необъективно оцененные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работы (кол-во)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необъективно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br/>
            </w: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оцененных работ (%)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"3" на "2" (%)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"4" на "3" (%)</w:t>
            </w:r>
          </w:p>
        </w:tc>
        <w:tc>
          <w:tcPr>
            <w:tcW w:w="1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"5" на "4" (%)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Всего выполненных работ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Кол-во работ, поступивших на перепроверку 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Доля работ, поступивших на перепроверку, %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Итоговый балл совпал (кол-во работ)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работ, в которых итоговый балл совпал (%)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Необъективно оцененные работы (кол-во) 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Доля необъективно оцененных работ (%)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"3" на "2" (%)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"4" на "3" (%)</w:t>
            </w: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>В ходе перепроверки результаты были понижены, что способствовало снижению отметки с "5" на "4" (%)</w:t>
            </w:r>
          </w:p>
        </w:tc>
      </w:tr>
      <w:tr w:rsidR="007660E5" w:rsidRPr="008D786E" w:rsidTr="00435FD0">
        <w:trPr>
          <w:trHeight w:val="1606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7660E5" w:rsidRPr="008D786E" w:rsidTr="00435FD0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МБОУ "</w:t>
            </w:r>
            <w:proofErr w:type="spellStart"/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Мальтинская</w:t>
            </w:r>
            <w:proofErr w:type="spellEnd"/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СОШ"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</w:tr>
      <w:tr w:rsidR="007660E5" w:rsidRPr="008D786E" w:rsidTr="00435FD0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МБОУ "СОШ 20"</w:t>
            </w:r>
          </w:p>
        </w:tc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4,5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0E5" w:rsidRPr="008D786E" w:rsidRDefault="007660E5" w:rsidP="004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8D786E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</w:tr>
    </w:tbl>
    <w:p w:rsidR="007660E5" w:rsidRDefault="007660E5" w:rsidP="00406717">
      <w:pPr>
        <w:ind w:firstLine="708"/>
        <w:jc w:val="both"/>
        <w:rPr>
          <w:sz w:val="24"/>
          <w:szCs w:val="24"/>
        </w:rPr>
      </w:pPr>
      <w:r w:rsidRPr="00982ED5">
        <w:rPr>
          <w:sz w:val="24"/>
          <w:szCs w:val="24"/>
        </w:rPr>
        <w:lastRenderedPageBreak/>
        <w:t>Ошибки, выявленные в ходе перепроверки</w:t>
      </w:r>
      <w:r>
        <w:rPr>
          <w:sz w:val="24"/>
          <w:szCs w:val="24"/>
        </w:rPr>
        <w:t>: в</w:t>
      </w:r>
      <w:r w:rsidRPr="00982ED5">
        <w:rPr>
          <w:sz w:val="24"/>
          <w:szCs w:val="24"/>
        </w:rPr>
        <w:t xml:space="preserve"> специальном поле для отметок бланка проверочной работы проставлены баллы при </w:t>
      </w:r>
      <w:r>
        <w:rPr>
          <w:sz w:val="24"/>
          <w:szCs w:val="24"/>
        </w:rPr>
        <w:t>отсутствии ответа обучающегося; п</w:t>
      </w:r>
      <w:r w:rsidRPr="00982ED5">
        <w:rPr>
          <w:sz w:val="24"/>
          <w:szCs w:val="24"/>
        </w:rPr>
        <w:t xml:space="preserve">ропуск </w:t>
      </w:r>
      <w:proofErr w:type="gramStart"/>
      <w:r w:rsidRPr="00982ED5">
        <w:rPr>
          <w:sz w:val="24"/>
          <w:szCs w:val="24"/>
        </w:rPr>
        <w:t>явных ошибок</w:t>
      </w:r>
      <w:proofErr w:type="gramEnd"/>
      <w:r w:rsidRPr="00982ED5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>; о</w:t>
      </w:r>
      <w:r w:rsidRPr="00982ED5">
        <w:rPr>
          <w:sz w:val="24"/>
          <w:szCs w:val="24"/>
        </w:rPr>
        <w:t>ценка учителям</w:t>
      </w:r>
      <w:r>
        <w:rPr>
          <w:sz w:val="24"/>
          <w:szCs w:val="24"/>
        </w:rPr>
        <w:t>и работ не по критериям. Всем общеобразовательными организациям района необходимо уделять качеству проверки работ пристальное внимание. Испытуемым школам экспертами были даны конкретные предложения для устранения недостатков.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Выявленные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факты необъективного оценивания свидетельствуют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об отсутствии единых подходов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 xml:space="preserve">у учителей к </w:t>
      </w:r>
      <w:r w:rsidR="00DA5BDE">
        <w:rPr>
          <w:sz w:val="24"/>
          <w:szCs w:val="24"/>
        </w:rPr>
        <w:t>оцениванию в</w:t>
      </w:r>
      <w:r w:rsidR="00DA5BDE" w:rsidRPr="00DA5BDE">
        <w:rPr>
          <w:sz w:val="24"/>
          <w:szCs w:val="24"/>
        </w:rPr>
        <w:t>ыполненных заданий ВПР, что может быть следствием недостаточной сформированности уровня предметных и оценочных компетенций</w:t>
      </w:r>
      <w:r w:rsidR="00DA5BDE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у нек</w:t>
      </w:r>
      <w:r w:rsidR="00DA5BDE">
        <w:rPr>
          <w:sz w:val="24"/>
          <w:szCs w:val="24"/>
        </w:rPr>
        <w:t xml:space="preserve">оторых учителей. Также наличие </w:t>
      </w:r>
      <w:r w:rsidR="00DA5BDE" w:rsidRPr="00DA5BDE">
        <w:rPr>
          <w:sz w:val="24"/>
          <w:szCs w:val="24"/>
        </w:rPr>
        <w:t>признаков необъективного оценивания ВПР свидетельствует</w:t>
      </w:r>
      <w:r w:rsidR="00406717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о несоблюдении принципа коллегиальности при проверке раб</w:t>
      </w:r>
      <w:r w:rsidR="00406717">
        <w:rPr>
          <w:sz w:val="24"/>
          <w:szCs w:val="24"/>
        </w:rPr>
        <w:t>от участников ВПР</w:t>
      </w:r>
      <w:r w:rsidR="00DA5BDE" w:rsidRPr="00DA5BDE">
        <w:rPr>
          <w:sz w:val="24"/>
          <w:szCs w:val="24"/>
        </w:rPr>
        <w:t xml:space="preserve"> и недостаточном контроле со стороны администрации школ в части обеспечения объективности ВПР в соответствии с требованиями</w:t>
      </w:r>
      <w:r w:rsidR="00406717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региональных и</w:t>
      </w:r>
      <w:r w:rsidR="00406717">
        <w:rPr>
          <w:sz w:val="24"/>
          <w:szCs w:val="24"/>
        </w:rPr>
        <w:t xml:space="preserve"> </w:t>
      </w:r>
      <w:r w:rsidR="00DA5BDE" w:rsidRPr="00DA5BDE">
        <w:rPr>
          <w:sz w:val="24"/>
          <w:szCs w:val="24"/>
        </w:rPr>
        <w:t>муниципальных нормативно-правовых актов, регламентирующих проведение ВПР.</w:t>
      </w:r>
    </w:p>
    <w:p w:rsidR="007660E5" w:rsidRDefault="007660E5" w:rsidP="00324A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перепроверка работ ВПР проводилась в МБОУ «</w:t>
      </w:r>
      <w:proofErr w:type="spellStart"/>
      <w:r>
        <w:rPr>
          <w:sz w:val="24"/>
          <w:szCs w:val="24"/>
        </w:rPr>
        <w:t>Большееланская</w:t>
      </w:r>
      <w:proofErr w:type="spellEnd"/>
      <w:r>
        <w:rPr>
          <w:sz w:val="24"/>
          <w:szCs w:val="24"/>
        </w:rPr>
        <w:t xml:space="preserve"> СОШ» (математика 6 класс), «СОШ №6» (математика 7 класс), «</w:t>
      </w:r>
      <w:proofErr w:type="spellStart"/>
      <w:r>
        <w:rPr>
          <w:sz w:val="24"/>
          <w:szCs w:val="24"/>
        </w:rPr>
        <w:t>Тельминская</w:t>
      </w:r>
      <w:proofErr w:type="spellEnd"/>
      <w:r>
        <w:rPr>
          <w:sz w:val="24"/>
          <w:szCs w:val="24"/>
        </w:rPr>
        <w:t xml:space="preserve"> СОШ» (русский язык 5 класс), «</w:t>
      </w:r>
      <w:proofErr w:type="spellStart"/>
      <w:r>
        <w:rPr>
          <w:sz w:val="24"/>
          <w:szCs w:val="24"/>
        </w:rPr>
        <w:t>Новомальтинская</w:t>
      </w:r>
      <w:proofErr w:type="spellEnd"/>
      <w:r>
        <w:rPr>
          <w:sz w:val="24"/>
          <w:szCs w:val="24"/>
        </w:rPr>
        <w:t xml:space="preserve"> СОШ» (русский язык 6 класс, математика 5 класс).</w:t>
      </w:r>
    </w:p>
    <w:p w:rsidR="007660E5" w:rsidRDefault="007660E5" w:rsidP="007660E5">
      <w:pPr>
        <w:jc w:val="both"/>
        <w:rPr>
          <w:sz w:val="24"/>
          <w:szCs w:val="24"/>
        </w:rPr>
      </w:pPr>
      <w:r>
        <w:rPr>
          <w:sz w:val="24"/>
          <w:szCs w:val="24"/>
        </w:rPr>
        <w:t>Выявленные ошибки:</w:t>
      </w:r>
    </w:p>
    <w:p w:rsidR="007660E5" w:rsidRPr="00F16280" w:rsidRDefault="007660E5" w:rsidP="00766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В специальном поле для отметок бланка проверочной работы проставлены баллы при отсутствии ответа обучающегося</w:t>
      </w:r>
      <w:r>
        <w:rPr>
          <w:sz w:val="24"/>
          <w:szCs w:val="24"/>
        </w:rPr>
        <w:t>;</w:t>
      </w:r>
    </w:p>
    <w:p w:rsidR="007660E5" w:rsidRPr="00F16280" w:rsidRDefault="007660E5" w:rsidP="00766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П</w:t>
      </w:r>
      <w:r>
        <w:rPr>
          <w:sz w:val="24"/>
          <w:szCs w:val="24"/>
        </w:rPr>
        <w:t xml:space="preserve">ропуск </w:t>
      </w:r>
      <w:proofErr w:type="gramStart"/>
      <w:r>
        <w:rPr>
          <w:sz w:val="24"/>
          <w:szCs w:val="24"/>
        </w:rPr>
        <w:t>явных ошибок</w:t>
      </w:r>
      <w:proofErr w:type="gramEnd"/>
      <w:r>
        <w:rPr>
          <w:sz w:val="24"/>
          <w:szCs w:val="24"/>
        </w:rPr>
        <w:t xml:space="preserve"> обучающихся;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7660E5" w:rsidRPr="00F16280" w:rsidRDefault="007660E5" w:rsidP="00766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работ учителями не по критериям;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7660E5" w:rsidRPr="00F16280" w:rsidRDefault="007660E5" w:rsidP="00766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Исправление </w:t>
      </w:r>
      <w:proofErr w:type="gramStart"/>
      <w:r>
        <w:rPr>
          <w:sz w:val="24"/>
          <w:szCs w:val="24"/>
        </w:rPr>
        <w:t>ответов</w:t>
      </w:r>
      <w:proofErr w:type="gramEnd"/>
      <w:r>
        <w:rPr>
          <w:sz w:val="24"/>
          <w:szCs w:val="24"/>
        </w:rPr>
        <w:t xml:space="preserve"> обучающихся;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7660E5" w:rsidRPr="00F16280" w:rsidRDefault="007660E5" w:rsidP="00766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Помощь учителем/использование учебной литературы и других источников информации обучающимся при выполнении заданий, что</w:t>
      </w:r>
      <w:r>
        <w:rPr>
          <w:sz w:val="24"/>
          <w:szCs w:val="24"/>
        </w:rPr>
        <w:t xml:space="preserve"> привело к идентичным ответам;</w:t>
      </w:r>
      <w:r w:rsidRPr="00F16280">
        <w:rPr>
          <w:sz w:val="24"/>
          <w:szCs w:val="24"/>
        </w:rPr>
        <w:tab/>
      </w:r>
      <w:r w:rsidRPr="00F16280">
        <w:rPr>
          <w:sz w:val="24"/>
          <w:szCs w:val="24"/>
        </w:rPr>
        <w:tab/>
      </w:r>
    </w:p>
    <w:p w:rsidR="007660E5" w:rsidRPr="00F16280" w:rsidRDefault="007660E5" w:rsidP="00766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16280">
        <w:rPr>
          <w:sz w:val="24"/>
          <w:szCs w:val="24"/>
        </w:rPr>
        <w:t>В специальном поле для отметок бланка проверочной работы баллы не проставлены</w:t>
      </w:r>
      <w:r>
        <w:rPr>
          <w:sz w:val="24"/>
          <w:szCs w:val="24"/>
        </w:rPr>
        <w:t>.</w:t>
      </w:r>
    </w:p>
    <w:p w:rsidR="007660E5" w:rsidRDefault="007660E5" w:rsidP="008321B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Усольского района в региональной перепроверке работ приняли участие 3 педагога: </w:t>
      </w:r>
      <w:r w:rsidRPr="00F16280">
        <w:rPr>
          <w:sz w:val="24"/>
          <w:szCs w:val="24"/>
        </w:rPr>
        <w:t>Сафронова Л.Н., Белореченский лицей</w:t>
      </w:r>
      <w:r>
        <w:rPr>
          <w:sz w:val="24"/>
          <w:szCs w:val="24"/>
        </w:rPr>
        <w:t xml:space="preserve">; </w:t>
      </w:r>
      <w:proofErr w:type="spellStart"/>
      <w:r w:rsidRPr="00F16280">
        <w:rPr>
          <w:sz w:val="24"/>
          <w:szCs w:val="24"/>
        </w:rPr>
        <w:t>Емельянченко</w:t>
      </w:r>
      <w:proofErr w:type="spellEnd"/>
      <w:r w:rsidRPr="00F16280">
        <w:rPr>
          <w:sz w:val="24"/>
          <w:szCs w:val="24"/>
        </w:rPr>
        <w:t xml:space="preserve"> С.Е., Белореченский лицей</w:t>
      </w:r>
      <w:r>
        <w:rPr>
          <w:sz w:val="24"/>
          <w:szCs w:val="24"/>
        </w:rPr>
        <w:t xml:space="preserve">; </w:t>
      </w:r>
      <w:r w:rsidRPr="00F16280">
        <w:rPr>
          <w:sz w:val="24"/>
          <w:szCs w:val="24"/>
        </w:rPr>
        <w:t>Фрунза М.В., Белореченская СОШ</w:t>
      </w:r>
      <w:r>
        <w:rPr>
          <w:sz w:val="24"/>
          <w:szCs w:val="24"/>
        </w:rPr>
        <w:t>.</w:t>
      </w:r>
    </w:p>
    <w:p w:rsidR="002610BA" w:rsidRDefault="002610BA"/>
    <w:sectPr w:rsidR="0026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68BE"/>
    <w:multiLevelType w:val="hybridMultilevel"/>
    <w:tmpl w:val="FEBA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5"/>
    <w:rsid w:val="002610BA"/>
    <w:rsid w:val="00324A02"/>
    <w:rsid w:val="00406717"/>
    <w:rsid w:val="0048620E"/>
    <w:rsid w:val="007660E5"/>
    <w:rsid w:val="008321BA"/>
    <w:rsid w:val="00C2105A"/>
    <w:rsid w:val="00DA5BDE"/>
    <w:rsid w:val="00E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090"/>
  <w15:chartTrackingRefBased/>
  <w15:docId w15:val="{FB9B1CFC-58F0-45A7-8346-147239D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E5"/>
    <w:pPr>
      <w:ind w:left="720"/>
      <w:contextualSpacing/>
    </w:pPr>
  </w:style>
  <w:style w:type="character" w:customStyle="1" w:styleId="markedcontent">
    <w:name w:val="markedcontent"/>
    <w:basedOn w:val="a0"/>
    <w:rsid w:val="0076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2021-06-23T08:59:00Z</dcterms:created>
  <dcterms:modified xsi:type="dcterms:W3CDTF">2021-06-24T01:13:00Z</dcterms:modified>
</cp:coreProperties>
</file>